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3GPP TSG-RAN WG4 Meeting # 106bis-e                               R4-230</w:t>
      </w:r>
      <w:r>
        <w:rPr>
          <w:rFonts w:hint="eastAsia" w:ascii="Arial" w:hAnsi="Arial" w:cs="Arial"/>
          <w:b/>
          <w:sz w:val="24"/>
          <w:szCs w:val="24"/>
          <w:highlight w:val="none"/>
          <w:lang w:val="en-US" w:eastAsia="zh-CN"/>
        </w:rPr>
        <w:t>4804</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Online, April 17 – April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6.6.4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SAN</w:t>
      </w:r>
      <w:r>
        <w:rPr>
          <w:rFonts w:hint="eastAsia" w:ascii="Arial" w:hAnsi="Arial" w:eastAsia="宋体" w:cs="Arial"/>
          <w:b/>
          <w:sz w:val="24"/>
          <w:szCs w:val="24"/>
          <w:highlight w:val="none"/>
          <w:lang w:val="en-US" w:eastAsia="zh-CN"/>
        </w:rPr>
        <w:t xml:space="preserve"> RF requirements for FDD band (L+S band) for IoT NTN operation</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RP-230792</w:t>
      </w:r>
      <w:r>
        <w:rPr>
          <w:rFonts w:hint="eastAsia" w:cs="Times New Roman"/>
          <w:kern w:val="2"/>
          <w:sz w:val="21"/>
          <w:szCs w:val="22"/>
          <w:highlight w:val="none"/>
          <w:lang w:val="en-US" w:eastAsia="zh-CN" w:bidi="ar-SA"/>
        </w:rPr>
        <w:t>] on FDD band (L+S band) for IoT NTN operation was approved. Part of the objective is as follows:</w:t>
      </w:r>
    </w:p>
    <w:p>
      <w:pPr>
        <w:pStyle w:val="34"/>
        <w:numPr>
          <w:ilvl w:val="0"/>
          <w:numId w:val="2"/>
        </w:numPr>
        <w:spacing w:before="120" w:after="0" w:line="240" w:lineRule="auto"/>
        <w:ind w:left="220" w:leftChars="0" w:firstLine="420" w:firstLineChars="200"/>
        <w:rPr>
          <w:rFonts w:cstheme="minorHAnsi"/>
          <w:szCs w:val="28"/>
          <w:lang w:val="en-US"/>
        </w:rPr>
      </w:pPr>
      <w:r>
        <w:rPr>
          <w:rFonts w:cstheme="minorHAnsi"/>
          <w:szCs w:val="24"/>
          <w:lang w:val="en-US"/>
        </w:rPr>
        <w:t>Specify the following new FDD frequency bands for NB-IoT/eMTC NTN operation:</w:t>
      </w:r>
    </w:p>
    <w:p>
      <w:pPr>
        <w:pStyle w:val="34"/>
        <w:numPr>
          <w:ilvl w:val="1"/>
          <w:numId w:val="2"/>
        </w:numPr>
        <w:spacing w:before="120" w:after="0" w:line="240" w:lineRule="auto"/>
        <w:ind w:left="840" w:leftChars="0" w:firstLine="420" w:firstLineChars="200"/>
        <w:rPr>
          <w:rFonts w:cstheme="minorHAnsi"/>
          <w:lang w:val="en-US"/>
        </w:rPr>
      </w:pPr>
      <w:r>
        <w:rPr>
          <w:rFonts w:cstheme="minorHAnsi"/>
          <w:szCs w:val="24"/>
          <w:lang w:val="en-US"/>
        </w:rPr>
        <w:t>1610 – 1626.5 MHz in UL, and 2483.5 – 2500 MHz in DL</w:t>
      </w:r>
    </w:p>
    <w:p>
      <w:pPr>
        <w:pStyle w:val="34"/>
        <w:numPr>
          <w:ilvl w:val="0"/>
          <w:numId w:val="2"/>
        </w:numPr>
        <w:spacing w:before="120" w:after="0" w:line="240" w:lineRule="auto"/>
        <w:ind w:left="220" w:leftChars="0" w:firstLine="420" w:firstLineChars="200"/>
        <w:rPr>
          <w:rFonts w:cstheme="minorHAnsi"/>
          <w:szCs w:val="24"/>
          <w:lang w:val="en-US"/>
        </w:rPr>
      </w:pPr>
      <w:r>
        <w:rPr>
          <w:rFonts w:cstheme="minorHAnsi"/>
          <w:szCs w:val="24"/>
          <w:lang w:val="en-US"/>
        </w:rPr>
        <w:t>Support UE power class 3 (+23dBm) and power class 5 (+20dBm)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SAN</w:t>
      </w:r>
      <w:r>
        <w:rPr>
          <w:rFonts w:hint="eastAsia"/>
          <w:lang w:val="en-US"/>
        </w:rPr>
        <w:t xml:space="preserve"> RF requirements</w:t>
      </w:r>
      <w:r>
        <w:rPr>
          <w:rFonts w:hint="eastAsia"/>
          <w:lang w:val="en-US" w:eastAsia="zh-CN"/>
        </w:rPr>
        <w:t xml:space="preserve"> for FDD band (L+S band) for IoT NTN operation</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3"/>
      <w:bookmarkStart w:id="3" w:name="OLE_LINK20"/>
      <w:bookmarkStart w:id="4" w:name="OLE_LINK14"/>
      <w:bookmarkStart w:id="5" w:name="OLE_LINK1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Based on the regulation of band number that the satellite bands are numbered in descending order from 256, band number 254 should be applied to the new FDD frequency bands for NB-IoT/eMTC NTN operation.</w:t>
      </w:r>
    </w:p>
    <w:p>
      <w:pPr>
        <w:pStyle w:val="45"/>
      </w:pPr>
      <w:r>
        <w:t xml:space="preserve">Table </w:t>
      </w:r>
      <w:r>
        <w:rPr>
          <w:rFonts w:hint="eastAsia"/>
          <w:lang w:val="en-US" w:eastAsia="zh-CN"/>
        </w:rPr>
        <w:t>2</w:t>
      </w:r>
      <w:r>
        <w:t>.</w:t>
      </w:r>
      <w:r>
        <w:rPr>
          <w:rFonts w:hint="eastAsia"/>
          <w:lang w:val="en-US" w:eastAsia="zh-CN"/>
        </w:rPr>
        <w:t>1</w:t>
      </w:r>
      <w:r>
        <w:t>-1: E-UTRA operating bands for satellite access</w:t>
      </w:r>
    </w:p>
    <w:tbl>
      <w:tblPr>
        <w:tblStyle w:val="24"/>
        <w:tblW w:w="8282" w:type="dxa"/>
        <w:jc w:val="center"/>
        <w:tblLayout w:type="autofit"/>
        <w:tblCellMar>
          <w:top w:w="0" w:type="dxa"/>
          <w:left w:w="108" w:type="dxa"/>
          <w:bottom w:w="0" w:type="dxa"/>
          <w:right w:w="108" w:type="dxa"/>
        </w:tblCellMar>
      </w:tblPr>
      <w:tblGrid>
        <w:gridCol w:w="1508"/>
        <w:gridCol w:w="1227"/>
        <w:gridCol w:w="517"/>
        <w:gridCol w:w="1304"/>
        <w:gridCol w:w="1200"/>
        <w:gridCol w:w="390"/>
        <w:gridCol w:w="1200"/>
        <w:gridCol w:w="93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48"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90"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3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48"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90"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3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eastAsia" w:eastAsia="宋体" w:cs="Arial"/>
                <w:lang w:val="en-US" w:eastAsia="zh-CN"/>
              </w:rPr>
            </w:pPr>
            <w:r>
              <w:rPr>
                <w:rFonts w:cs="Arial"/>
              </w:rPr>
              <w:t>25</w:t>
            </w:r>
            <w:r>
              <w:rPr>
                <w:rFonts w:hint="eastAsia" w:eastAsia="宋体" w:cs="Arial"/>
                <w:lang w:val="en-US" w:eastAsia="zh-CN"/>
              </w:rPr>
              <w:t>4</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cs="Arial"/>
                <w:lang w:eastAsia="zh-CN"/>
              </w:rPr>
              <w:t>1</w:t>
            </w:r>
            <w:r>
              <w:rPr>
                <w:rFonts w:hint="eastAsia" w:cs="Arial"/>
                <w:lang w:val="en-US" w:eastAsia="zh-CN"/>
              </w:rPr>
              <w:t>61</w:t>
            </w:r>
            <w:r>
              <w:rPr>
                <w:rFonts w:cs="Arial"/>
                <w:lang w:eastAsia="zh-CN"/>
              </w:rPr>
              <w:t>0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304"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1626.5</w:t>
            </w:r>
            <w:r>
              <w:rPr>
                <w:rFonts w:cs="Arial"/>
                <w:lang w:eastAsia="zh-CN"/>
              </w:rPr>
              <w:t xml:space="preserve"> MHz</w:t>
            </w:r>
          </w:p>
        </w:tc>
        <w:tc>
          <w:tcPr>
            <w:tcW w:w="1200" w:type="dxa"/>
            <w:tcBorders>
              <w:top w:val="single" w:color="auto" w:sz="4" w:space="0"/>
              <w:left w:val="nil"/>
              <w:bottom w:val="single" w:color="auto" w:sz="4" w:space="0"/>
              <w:right w:val="nil"/>
            </w:tcBorders>
          </w:tcPr>
          <w:p>
            <w:pPr>
              <w:pStyle w:val="95"/>
            </w:pPr>
            <w:r>
              <w:rPr>
                <w:rFonts w:hint="eastAsia"/>
                <w:lang w:val="en-US" w:eastAsia="zh-CN"/>
              </w:rPr>
              <w:t>2483.5</w:t>
            </w:r>
            <w:r>
              <w:t xml:space="preserve"> MHz</w:t>
            </w:r>
          </w:p>
        </w:tc>
        <w:tc>
          <w:tcPr>
            <w:tcW w:w="390" w:type="dxa"/>
            <w:tcBorders>
              <w:top w:val="single" w:color="auto" w:sz="4" w:space="0"/>
              <w:left w:val="nil"/>
              <w:bottom w:val="single" w:color="auto" w:sz="4" w:space="0"/>
              <w:right w:val="nil"/>
            </w:tcBorders>
          </w:tcPr>
          <w:p>
            <w:pPr>
              <w:pStyle w:val="36"/>
            </w:pPr>
            <w:r>
              <w:t>–</w:t>
            </w:r>
          </w:p>
        </w:tc>
        <w:tc>
          <w:tcPr>
            <w:tcW w:w="1200" w:type="dxa"/>
            <w:tcBorders>
              <w:top w:val="single" w:color="auto" w:sz="4" w:space="0"/>
              <w:left w:val="nil"/>
              <w:bottom w:val="single" w:color="auto" w:sz="4" w:space="0"/>
              <w:right w:val="single" w:color="auto" w:sz="4" w:space="0"/>
            </w:tcBorders>
          </w:tcPr>
          <w:p>
            <w:pPr>
              <w:pStyle w:val="37"/>
            </w:pPr>
            <w:r>
              <w:t>2</w:t>
            </w:r>
            <w:r>
              <w:rPr>
                <w:rFonts w:hint="eastAsia"/>
                <w:lang w:val="en-US" w:eastAsia="zh-CN"/>
              </w:rPr>
              <w:t>5</w:t>
            </w:r>
            <w:r>
              <w:t>00 MHz</w:t>
            </w:r>
          </w:p>
        </w:tc>
        <w:tc>
          <w:tcPr>
            <w:tcW w:w="93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rPr>
          <w:jc w:val="center"/>
        </w:trPr>
        <w:tc>
          <w:tcPr>
            <w:tcW w:w="8282" w:type="dxa"/>
            <w:gridSpan w:val="8"/>
            <w:tcBorders>
              <w:top w:val="single" w:color="auto" w:sz="4" w:space="0"/>
              <w:left w:val="single" w:color="auto" w:sz="4" w:space="0"/>
              <w:bottom w:val="single" w:color="auto" w:sz="4" w:space="0"/>
              <w:right w:val="single" w:color="auto" w:sz="4" w:space="0"/>
            </w:tcBorders>
          </w:tcPr>
          <w:p>
            <w:pPr>
              <w:pStyle w:val="48"/>
              <w:rPr>
                <w:szCs w:val="18"/>
              </w:rPr>
            </w:pPr>
            <w:r>
              <w:rPr>
                <w:szCs w:val="18"/>
              </w:rPr>
              <w:t>NOTE: 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w:t>
      </w:r>
      <w:bookmarkStart w:id="6" w:name="OLE_LINK2"/>
      <w:r>
        <w:rPr>
          <w:rFonts w:hint="eastAsia"/>
          <w:b w:val="0"/>
          <w:bCs w:val="0"/>
          <w:i w:val="0"/>
          <w:iCs w:val="0"/>
          <w:lang w:val="en-US" w:eastAsia="zh-CN"/>
        </w:rPr>
        <w:t>he new FDD frequency bands for NB-IoT/eMTC NTN operation should</w:t>
      </w:r>
      <w:bookmarkEnd w:id="6"/>
      <w:r>
        <w:rPr>
          <w:rFonts w:hint="eastAsia"/>
          <w:b w:val="0"/>
          <w:bCs w:val="0"/>
          <w:i w:val="0"/>
          <w:iCs w:val="0"/>
          <w:lang w:val="en-US" w:eastAsia="zh-CN"/>
        </w:rPr>
        <w:t xml:space="preserve"> be numbered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Channel bandwidth and transmission bandwidth configuration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The channel bandwidth and transmission bandwidth configuration of band 256 and 255 can be reused to the new FDD frequency bands for NB-IoT/eMTC NTN operation.</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2.2.1 Channel bandwidth for category M1</w:t>
      </w:r>
    </w:p>
    <w:p>
      <w:r>
        <w:t xml:space="preserve">The </w:t>
      </w:r>
      <w:r>
        <w:rPr>
          <w:rFonts w:hint="eastAsia"/>
          <w:lang w:val="en-US" w:eastAsia="zh-CN"/>
        </w:rPr>
        <w:t>channel bandwidth and transmission bandwidth configuration for category M1 can be defined as Table 2.2-1</w:t>
      </w:r>
      <w:r>
        <w:t>.</w:t>
      </w:r>
    </w:p>
    <w:p>
      <w:pPr>
        <w:pStyle w:val="45"/>
        <w:rPr>
          <w:rFonts w:hint="eastAsia"/>
        </w:rPr>
      </w:pPr>
      <w:r>
        <w:t xml:space="preserve">Table </w:t>
      </w:r>
      <w:r>
        <w:rPr>
          <w:rFonts w:hint="eastAsia"/>
          <w:lang w:val="en-US" w:eastAsia="zh-CN"/>
        </w:rPr>
        <w:t>2.2</w:t>
      </w:r>
      <w:r>
        <w:t xml:space="preserve">-1: </w:t>
      </w:r>
      <w:r>
        <w:rPr>
          <w:rFonts w:hint="eastAsia"/>
        </w:rPr>
        <w:t>Transmission bandwidth configuration NRB in E-UTRA channel bandwidths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35"/>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pPr>
              <w:pStyle w:val="35"/>
              <w:rPr>
                <w:rFonts w:cs="Arial"/>
              </w:rPr>
            </w:pPr>
            <w:r>
              <w:rPr>
                <w:rFonts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36"/>
              <w:rPr>
                <w:rFonts w:cs="Arial"/>
              </w:rPr>
            </w:pPr>
            <w:r>
              <w:rPr>
                <w:rFonts w:cs="Arial"/>
              </w:rPr>
              <w:t>Transmission bandwidth configuration N</w:t>
            </w:r>
            <w:r>
              <w:rPr>
                <w:rFonts w:cs="Arial"/>
                <w:vertAlign w:val="subscript"/>
              </w:rPr>
              <w:t>RB</w:t>
            </w:r>
          </w:p>
        </w:tc>
        <w:tc>
          <w:tcPr>
            <w:tcW w:w="0" w:type="auto"/>
            <w:vAlign w:val="center"/>
          </w:tcPr>
          <w:p>
            <w:pPr>
              <w:pStyle w:val="36"/>
              <w:rPr>
                <w:rFonts w:cs="Arial"/>
              </w:rPr>
            </w:pPr>
            <w:r>
              <w:rPr>
                <w:rFonts w:cs="Arial"/>
              </w:rPr>
              <w:t>6</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new FDD frequency bands for NB-IoT/eMTC NTN operation, channel bandwidth and transmission bandwidth configuration for eMTC NTN operation should be defined as Table 2.2-1.</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2.2.2 Channel bandwidth for category NB1 and NB2</w:t>
      </w:r>
    </w:p>
    <w:p>
      <w:pPr>
        <w:rPr>
          <w:kern w:val="2"/>
        </w:rPr>
      </w:pPr>
      <w:r>
        <w:rPr>
          <w:rFonts w:hint="eastAsia"/>
          <w:kern w:val="2"/>
          <w:lang w:val="en-US" w:eastAsia="zh-CN"/>
        </w:rPr>
        <w:t>The channel bandwidth and transmission bandwidth configuration f</w:t>
      </w:r>
      <w:r>
        <w:rPr>
          <w:rFonts w:hint="eastAsia"/>
          <w:kern w:val="2"/>
        </w:rPr>
        <w:t xml:space="preserve">or </w:t>
      </w:r>
      <w:r>
        <w:rPr>
          <w:rFonts w:hint="eastAsia"/>
          <w:kern w:val="2"/>
          <w:lang w:eastAsia="zh-CN"/>
        </w:rPr>
        <w:t xml:space="preserve">category </w:t>
      </w:r>
      <w:r>
        <w:rPr>
          <w:rFonts w:hint="eastAsia"/>
          <w:kern w:val="2"/>
        </w:rPr>
        <w:t>NB1 and NB2</w:t>
      </w:r>
      <w:r>
        <w:rPr>
          <w:rFonts w:hint="eastAsia"/>
          <w:kern w:val="2"/>
          <w:lang w:val="en-US" w:eastAsia="zh-CN"/>
        </w:rPr>
        <w:t xml:space="preserve"> can be defined as Table 2.2-2</w:t>
      </w:r>
      <w:r>
        <w:rPr>
          <w:kern w:val="2"/>
        </w:rPr>
        <w:t>.</w:t>
      </w:r>
    </w:p>
    <w:p>
      <w:pPr>
        <w:pStyle w:val="45"/>
      </w:pPr>
      <w:r>
        <w:t xml:space="preserve">Table </w:t>
      </w:r>
      <w:r>
        <w:rPr>
          <w:rFonts w:hint="eastAsia"/>
          <w:lang w:val="en-US" w:eastAsia="zh-CN"/>
        </w:rPr>
        <w:t>2.2-2</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24"/>
        <w:tblW w:w="4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8"/>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0" w:type="auto"/>
            <w:vAlign w:val="center"/>
          </w:tcPr>
          <w:p>
            <w:pPr>
              <w:pStyle w:val="35"/>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0" w:type="auto"/>
            <w:vAlign w:val="center"/>
          </w:tcPr>
          <w:p>
            <w:pPr>
              <w:pStyle w:val="35"/>
              <w:rPr>
                <w:rFonts w:cs="Arial"/>
              </w:rPr>
            </w:pPr>
            <w:r>
              <w:rPr>
                <w:rFonts w:cs="Aria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36"/>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pPr>
              <w:pStyle w:val="36"/>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36"/>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pPr>
              <w:pStyle w:val="36"/>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6"/>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color="auto" w:sz="4" w:space="0"/>
              <w:left w:val="single" w:color="auto" w:sz="4" w:space="0"/>
              <w:bottom w:val="single" w:color="auto" w:sz="4" w:space="0"/>
              <w:right w:val="single" w:color="auto" w:sz="4" w:space="0"/>
            </w:tcBorders>
            <w:vAlign w:val="center"/>
          </w:tcPr>
          <w:p>
            <w:pPr>
              <w:pStyle w:val="36"/>
              <w:rPr>
                <w:rFonts w:cs="Arial"/>
              </w:rPr>
            </w:pPr>
            <w:r>
              <w:rPr>
                <w:rFonts w:cs="Arial"/>
              </w:rPr>
              <w:t>48</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new FDD frequency bands for NB-IoT/eMTC NTN operation, channel bandwidth and transmission bandwidth configuration for NB-IoT NTN operation should be defined as Table 2.2-2.</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new FDD frequency bands for NB-IoT/eMTC NTN operation. Therefore, the channel raster, carrier frequency and EARFCN can be defined as Table 2.3-1.</w:t>
      </w:r>
    </w:p>
    <w:p>
      <w:pPr>
        <w:pStyle w:val="45"/>
      </w:pPr>
      <w:r>
        <w:rPr>
          <w:rFonts w:hint="eastAsia"/>
          <w:lang w:val="en-US" w:eastAsia="zh-CN"/>
        </w:rPr>
        <w:t>Table 2.3</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7"/>
        <w:gridCol w:w="1015"/>
        <w:gridCol w:w="1031"/>
        <w:gridCol w:w="1848"/>
        <w:gridCol w:w="1006"/>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1055" w:type="dxa"/>
            <w:vMerge w:val="restart"/>
            <w:vAlign w:val="center"/>
          </w:tcPr>
          <w:p>
            <w:pPr>
              <w:pStyle w:val="35"/>
              <w:rPr>
                <w:rFonts w:cs="Arial"/>
              </w:rPr>
            </w:pPr>
            <w:r>
              <w:t>ΔF</w:t>
            </w:r>
            <w:r>
              <w:rPr>
                <w:vertAlign w:val="subscript"/>
              </w:rPr>
              <w:t>Raster</w:t>
            </w:r>
            <w:r>
              <w:t xml:space="preserve"> (kHz)</w:t>
            </w:r>
          </w:p>
        </w:tc>
        <w:tc>
          <w:tcPr>
            <w:tcW w:w="3969" w:type="dxa"/>
            <w:gridSpan w:val="3"/>
          </w:tcPr>
          <w:p>
            <w:pPr>
              <w:pStyle w:val="35"/>
              <w:rPr>
                <w:rFonts w:cs="Arial"/>
              </w:rPr>
            </w:pPr>
            <w:r>
              <w:rPr>
                <w:rFonts w:cs="Arial"/>
              </w:rPr>
              <w:t>Downlink</w:t>
            </w:r>
          </w:p>
        </w:tc>
        <w:tc>
          <w:tcPr>
            <w:tcW w:w="3540"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1055" w:type="dxa"/>
            <w:vMerge w:val="continue"/>
          </w:tcPr>
          <w:p>
            <w:pPr>
              <w:pStyle w:val="35"/>
              <w:rPr>
                <w:rFonts w:cs="Arial"/>
              </w:rPr>
            </w:pPr>
          </w:p>
        </w:tc>
        <w:tc>
          <w:tcPr>
            <w:tcW w:w="1134" w:type="dxa"/>
          </w:tcPr>
          <w:p>
            <w:pPr>
              <w:pStyle w:val="35"/>
              <w:rPr>
                <w:rFonts w:cs="Arial"/>
              </w:rPr>
            </w:pPr>
            <w:r>
              <w:rPr>
                <w:rFonts w:cs="Arial"/>
              </w:rPr>
              <w:t>F</w:t>
            </w:r>
            <w:r>
              <w:rPr>
                <w:rFonts w:cs="Arial"/>
                <w:vertAlign w:val="subscript"/>
              </w:rPr>
              <w:t xml:space="preserve">DL_low </w:t>
            </w:r>
            <w:r>
              <w:rPr>
                <w:rFonts w:cs="Arial"/>
              </w:rPr>
              <w:t>(MHz)</w:t>
            </w:r>
          </w:p>
        </w:tc>
        <w:tc>
          <w:tcPr>
            <w:tcW w:w="1134" w:type="dxa"/>
          </w:tcPr>
          <w:p>
            <w:pPr>
              <w:pStyle w:val="35"/>
              <w:rPr>
                <w:rFonts w:cs="Arial"/>
              </w:rPr>
            </w:pPr>
            <w:r>
              <w:rPr>
                <w:rFonts w:cs="Arial"/>
              </w:rPr>
              <w:t>N</w:t>
            </w:r>
            <w:r>
              <w:rPr>
                <w:rFonts w:cs="Arial"/>
                <w:vertAlign w:val="subscript"/>
              </w:rPr>
              <w:t>Offs-DL</w:t>
            </w:r>
          </w:p>
        </w:tc>
        <w:tc>
          <w:tcPr>
            <w:tcW w:w="1701"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134" w:type="dxa"/>
          </w:tcPr>
          <w:p>
            <w:pPr>
              <w:pStyle w:val="35"/>
              <w:rPr>
                <w:rFonts w:cs="Arial"/>
              </w:rPr>
            </w:pPr>
            <w:r>
              <w:rPr>
                <w:rFonts w:cs="Arial"/>
              </w:rPr>
              <w:t>F</w:t>
            </w:r>
            <w:r>
              <w:rPr>
                <w:rFonts w:cs="Arial"/>
                <w:vertAlign w:val="subscript"/>
              </w:rPr>
              <w:t xml:space="preserve">UL_low </w:t>
            </w:r>
            <w:r>
              <w:rPr>
                <w:rFonts w:cs="Arial"/>
              </w:rPr>
              <w:t>(MHz)</w:t>
            </w:r>
          </w:p>
        </w:tc>
        <w:tc>
          <w:tcPr>
            <w:tcW w:w="850" w:type="dxa"/>
          </w:tcPr>
          <w:p>
            <w:pPr>
              <w:pStyle w:val="35"/>
              <w:rPr>
                <w:rFonts w:cs="Arial"/>
              </w:rPr>
            </w:pPr>
            <w:r>
              <w:rPr>
                <w:rFonts w:cs="Arial"/>
              </w:rPr>
              <w:t>N</w:t>
            </w:r>
            <w:r>
              <w:rPr>
                <w:rFonts w:cs="Arial"/>
                <w:vertAlign w:val="subscript"/>
              </w:rPr>
              <w:t>Offs-UL</w:t>
            </w:r>
          </w:p>
        </w:tc>
        <w:tc>
          <w:tcPr>
            <w:tcW w:w="1556"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eastAsia" w:eastAsia="宋体" w:cs="Arial"/>
                <w:szCs w:val="18"/>
                <w:lang w:eastAsia="zh-CN"/>
              </w:rPr>
            </w:pPr>
            <w:r>
              <w:rPr>
                <w:rFonts w:cs="Arial"/>
                <w:szCs w:val="18"/>
              </w:rPr>
              <w:t>25</w:t>
            </w:r>
            <w:r>
              <w:rPr>
                <w:rFonts w:hint="eastAsia" w:eastAsia="宋体" w:cs="Arial"/>
                <w:szCs w:val="18"/>
                <w:lang w:val="en-US" w:eastAsia="zh-CN"/>
              </w:rPr>
              <w:t>4</w:t>
            </w:r>
          </w:p>
        </w:tc>
        <w:tc>
          <w:tcPr>
            <w:tcW w:w="1055"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100</w:t>
            </w:r>
          </w:p>
        </w:tc>
        <w:tc>
          <w:tcPr>
            <w:tcW w:w="1134"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2483.5</w:t>
            </w:r>
          </w:p>
        </w:tc>
        <w:tc>
          <w:tcPr>
            <w:tcW w:w="1134"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228571</w:t>
            </w:r>
          </w:p>
        </w:tc>
        <w:tc>
          <w:tcPr>
            <w:tcW w:w="1701"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228571-&lt;1&gt;-228735</w:t>
            </w:r>
          </w:p>
        </w:tc>
        <w:tc>
          <w:tcPr>
            <w:tcW w:w="1134"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1610</w:t>
            </w:r>
          </w:p>
        </w:tc>
        <w:tc>
          <w:tcPr>
            <w:tcW w:w="850"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261339</w:t>
            </w:r>
          </w:p>
        </w:tc>
        <w:tc>
          <w:tcPr>
            <w:tcW w:w="1556" w:type="dxa"/>
            <w:vAlign w:val="top"/>
          </w:tcPr>
          <w:p>
            <w:pPr>
              <w:pStyle w:val="36"/>
              <w:rPr>
                <w:rFonts w:hint="default" w:ascii="Arial" w:hAnsi="Arial" w:eastAsia="宋体" w:cs="Times New Roman"/>
                <w:kern w:val="0"/>
                <w:sz w:val="18"/>
                <w:szCs w:val="20"/>
                <w:lang w:val="en-US" w:eastAsia="zh-CN" w:bidi="ar-SA"/>
              </w:rPr>
            </w:pPr>
            <w:r>
              <w:rPr>
                <w:rFonts w:hint="eastAsia" w:eastAsia="宋体"/>
                <w:lang w:val="en-US" w:eastAsia="zh-CN"/>
              </w:rPr>
              <w:t>261339-&lt;1&gt;-261503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new FDD frequency bands for NB-IoT/eMTC NTN operation, the channel raster, carrier frequency and EARFCN can be defined as Table 2.3-1.</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new FDD frequency bands for NB-IoT/eMTC NTN operation should be numbered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new FDD frequency bands for NB-IoT/eMTC NTN operation, channel bandwidth and transmission bandwidth configuration for eMTC NTN operation should be defined as Table 2.2-1.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new FDD frequency bands for NB-IoT/eMTC NTN operation, channel bandwidth and transmission bandwidth configuration for NB-IoT NTN operation should be defined as Table 2.2-2.</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new FDD frequency bands for NB-IoT/eMTC NTN operation, the channel raster, carrier frequency and EARFCN can be defined as Table 2.3-1.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pPr>
      <w:r>
        <w:rPr>
          <w:rFonts w:hint="eastAsia" w:ascii="Times New Roman" w:hAnsi="Times New Roman" w:eastAsia="宋体" w:cs="Times New Roman"/>
          <w:sz w:val="20"/>
          <w:szCs w:val="20"/>
          <w:highlight w:val="none"/>
          <w:lang w:val="en-US" w:eastAsia="zh-CN"/>
        </w:rPr>
        <w:t>RP-230792</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FDD band (L+S band) for IoT NTN operation”, MediaTek Inc. Apple, Globalstar, Kepler Communications, Qualcomm, ZTE</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6361B2"/>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61452E"/>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3C76D1"/>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2B0"/>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4D1D0E"/>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242CD"/>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363E9"/>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6</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2023-04-10T06:53:57Z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2F92509570F7410F845E4E365BF20D99</vt:lpwstr>
  </property>
</Properties>
</file>